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69" w:rsidRPr="00A90963" w:rsidRDefault="004119F1" w:rsidP="00BF3CC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E5D9A" w:rsidRPr="00A90963">
        <w:rPr>
          <w:rFonts w:ascii="Times New Roman" w:hAnsi="Times New Roman" w:cs="Times New Roman"/>
          <w:sz w:val="28"/>
          <w:szCs w:val="28"/>
        </w:rPr>
        <w:t>УТВЕРЖДЕН</w:t>
      </w:r>
    </w:p>
    <w:p w:rsidR="005E5D9A" w:rsidRPr="00A90963" w:rsidRDefault="00BF3CC9" w:rsidP="00BF3CC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="002A3949" w:rsidRPr="00A90963">
        <w:rPr>
          <w:rFonts w:ascii="Times New Roman" w:hAnsi="Times New Roman" w:cs="Times New Roman"/>
          <w:sz w:val="28"/>
          <w:szCs w:val="28"/>
        </w:rPr>
        <w:t xml:space="preserve">      </w:t>
      </w:r>
      <w:r w:rsidRPr="00A90963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5E5D9A" w:rsidRPr="00A90963">
        <w:rPr>
          <w:rFonts w:ascii="Times New Roman" w:hAnsi="Times New Roman" w:cs="Times New Roman"/>
          <w:sz w:val="28"/>
          <w:szCs w:val="28"/>
        </w:rPr>
        <w:t>Общественного</w:t>
      </w:r>
      <w:r w:rsidRPr="00A90963">
        <w:rPr>
          <w:rFonts w:ascii="Times New Roman" w:hAnsi="Times New Roman" w:cs="Times New Roman"/>
          <w:sz w:val="28"/>
          <w:szCs w:val="28"/>
        </w:rPr>
        <w:t xml:space="preserve"> </w:t>
      </w:r>
      <w:r w:rsidR="002A3949" w:rsidRPr="00A909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3949" w:rsidRPr="00A9096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90963">
        <w:rPr>
          <w:rFonts w:ascii="Times New Roman" w:hAnsi="Times New Roman" w:cs="Times New Roman"/>
          <w:sz w:val="28"/>
          <w:szCs w:val="28"/>
        </w:rPr>
        <w:t>совета</w:t>
      </w:r>
      <w:r w:rsidR="002A3949"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>п</w:t>
      </w:r>
      <w:r w:rsidR="005E5D9A" w:rsidRPr="00A90963">
        <w:rPr>
          <w:rFonts w:ascii="Times New Roman" w:hAnsi="Times New Roman" w:cs="Times New Roman"/>
          <w:sz w:val="28"/>
          <w:szCs w:val="28"/>
        </w:rPr>
        <w:t>ри</w:t>
      </w:r>
      <w:r w:rsidR="005E5D9A"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>Комитете</w:t>
      </w:r>
      <w:r w:rsidR="002A3949" w:rsidRPr="00A90963">
        <w:rPr>
          <w:rFonts w:ascii="Times New Roman" w:hAnsi="Times New Roman" w:cs="Times New Roman"/>
          <w:sz w:val="28"/>
          <w:szCs w:val="28"/>
        </w:rPr>
        <w:t xml:space="preserve"> </w:t>
      </w:r>
      <w:r w:rsidRPr="00A90963">
        <w:rPr>
          <w:rFonts w:ascii="Times New Roman" w:hAnsi="Times New Roman" w:cs="Times New Roman"/>
          <w:sz w:val="28"/>
          <w:szCs w:val="28"/>
        </w:rPr>
        <w:t xml:space="preserve">по </w:t>
      </w:r>
      <w:r w:rsidR="002A3949" w:rsidRPr="00A90963">
        <w:rPr>
          <w:rFonts w:ascii="Times New Roman" w:hAnsi="Times New Roman" w:cs="Times New Roman"/>
          <w:sz w:val="28"/>
          <w:szCs w:val="28"/>
        </w:rPr>
        <w:tab/>
      </w:r>
      <w:r w:rsidR="002A3949" w:rsidRPr="00A90963">
        <w:rPr>
          <w:rFonts w:ascii="Times New Roman" w:hAnsi="Times New Roman" w:cs="Times New Roman"/>
          <w:sz w:val="28"/>
          <w:szCs w:val="28"/>
        </w:rPr>
        <w:tab/>
      </w:r>
      <w:r w:rsidR="002A3949" w:rsidRPr="00A90963">
        <w:rPr>
          <w:rFonts w:ascii="Times New Roman" w:hAnsi="Times New Roman" w:cs="Times New Roman"/>
          <w:sz w:val="28"/>
          <w:szCs w:val="28"/>
        </w:rPr>
        <w:tab/>
        <w:t xml:space="preserve">      делам ЗАГС при Правительстве</w:t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="002A3949" w:rsidRPr="00A909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949" w:rsidRPr="00A90963">
        <w:rPr>
          <w:rFonts w:ascii="Times New Roman" w:hAnsi="Times New Roman" w:cs="Times New Roman"/>
          <w:sz w:val="28"/>
          <w:szCs w:val="28"/>
        </w:rPr>
        <w:tab/>
      </w:r>
      <w:r w:rsidR="002A3949" w:rsidRPr="00A90963">
        <w:rPr>
          <w:rFonts w:ascii="Times New Roman" w:hAnsi="Times New Roman" w:cs="Times New Roman"/>
          <w:sz w:val="28"/>
          <w:szCs w:val="28"/>
        </w:rPr>
        <w:tab/>
        <w:t xml:space="preserve">      Удмуртской Республики</w:t>
      </w:r>
      <w:r w:rsidRPr="00A90963">
        <w:rPr>
          <w:rFonts w:ascii="Times New Roman" w:hAnsi="Times New Roman" w:cs="Times New Roman"/>
          <w:sz w:val="28"/>
          <w:szCs w:val="28"/>
        </w:rPr>
        <w:t xml:space="preserve">    </w:t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="005E5D9A" w:rsidRPr="00A9096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19F1" w:rsidRPr="00A90963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39455D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="004119F1" w:rsidRPr="00A90963">
        <w:rPr>
          <w:rFonts w:ascii="Times New Roman" w:hAnsi="Times New Roman" w:cs="Times New Roman"/>
          <w:sz w:val="28"/>
          <w:szCs w:val="28"/>
        </w:rPr>
        <w:t>2020 г.</w:t>
      </w:r>
    </w:p>
    <w:p w:rsidR="005E5D9A" w:rsidRPr="00A90963" w:rsidRDefault="005E5D9A" w:rsidP="005E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D9A" w:rsidRPr="00A90963" w:rsidRDefault="005E5D9A" w:rsidP="005E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  <w:r w:rsidRPr="00A90963">
        <w:rPr>
          <w:rFonts w:ascii="Times New Roman" w:hAnsi="Times New Roman" w:cs="Times New Roman"/>
          <w:sz w:val="28"/>
          <w:szCs w:val="28"/>
        </w:rPr>
        <w:tab/>
      </w:r>
    </w:p>
    <w:p w:rsidR="005E5D9A" w:rsidRPr="00A90963" w:rsidRDefault="005E5D9A" w:rsidP="005E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D9A" w:rsidRPr="00A90963" w:rsidRDefault="005E5D9A" w:rsidP="005E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6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E5D9A" w:rsidRPr="00A90963" w:rsidRDefault="005E5D9A" w:rsidP="005E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63">
        <w:rPr>
          <w:rFonts w:ascii="Times New Roman" w:hAnsi="Times New Roman" w:cs="Times New Roman"/>
          <w:b/>
          <w:sz w:val="28"/>
          <w:szCs w:val="28"/>
        </w:rPr>
        <w:t>об антимонопольном комплаенсе</w:t>
      </w:r>
      <w:r w:rsidR="00765956" w:rsidRPr="00A90963">
        <w:rPr>
          <w:rFonts w:ascii="Times New Roman" w:hAnsi="Times New Roman" w:cs="Times New Roman"/>
          <w:b/>
          <w:sz w:val="28"/>
          <w:szCs w:val="28"/>
        </w:rPr>
        <w:t xml:space="preserve"> в Комитете по делам ЗАГС при Правительстве Удмуртской Республики</w:t>
      </w:r>
    </w:p>
    <w:p w:rsidR="005E5D9A" w:rsidRPr="00A90963" w:rsidRDefault="005E5D9A" w:rsidP="005E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49" w:rsidRPr="00A90963" w:rsidRDefault="00765956" w:rsidP="007B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Указом Президента </w:t>
      </w:r>
      <w:r w:rsidR="007B3DEE" w:rsidRPr="00A9096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90963">
        <w:rPr>
          <w:rFonts w:ascii="Times New Roman" w:hAnsi="Times New Roman" w:cs="Times New Roman"/>
          <w:sz w:val="28"/>
          <w:szCs w:val="28"/>
        </w:rPr>
        <w:t xml:space="preserve">от 21.12.2017 </w:t>
      </w:r>
      <w:r w:rsidR="007F0E29" w:rsidRPr="00A90963">
        <w:rPr>
          <w:rFonts w:ascii="Times New Roman" w:hAnsi="Times New Roman" w:cs="Times New Roman"/>
          <w:sz w:val="28"/>
          <w:szCs w:val="28"/>
        </w:rPr>
        <w:t>№</w:t>
      </w:r>
      <w:r w:rsidRPr="00A90963">
        <w:rPr>
          <w:rFonts w:ascii="Times New Roman" w:hAnsi="Times New Roman" w:cs="Times New Roman"/>
          <w:sz w:val="28"/>
          <w:szCs w:val="28"/>
        </w:rPr>
        <w:t xml:space="preserve"> 618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Pr="00A90963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Pr="00A90963">
        <w:rPr>
          <w:rFonts w:ascii="Times New Roman" w:hAnsi="Times New Roman" w:cs="Times New Roman"/>
          <w:sz w:val="28"/>
          <w:szCs w:val="28"/>
        </w:rPr>
        <w:t xml:space="preserve"> (далее – Указ </w:t>
      </w:r>
      <w:r w:rsidR="007F0E29" w:rsidRPr="00A90963">
        <w:rPr>
          <w:rFonts w:ascii="Times New Roman" w:hAnsi="Times New Roman" w:cs="Times New Roman"/>
          <w:sz w:val="28"/>
          <w:szCs w:val="28"/>
        </w:rPr>
        <w:t>№</w:t>
      </w:r>
      <w:r w:rsidRPr="00A90963">
        <w:rPr>
          <w:rFonts w:ascii="Times New Roman" w:hAnsi="Times New Roman" w:cs="Times New Roman"/>
          <w:sz w:val="28"/>
          <w:szCs w:val="28"/>
        </w:rPr>
        <w:t xml:space="preserve"> 618)</w:t>
      </w:r>
      <w:r w:rsidR="002A3949" w:rsidRPr="00A90963">
        <w:rPr>
          <w:rFonts w:ascii="Times New Roman" w:hAnsi="Times New Roman" w:cs="Times New Roman"/>
          <w:sz w:val="28"/>
          <w:szCs w:val="28"/>
        </w:rPr>
        <w:t>:</w:t>
      </w:r>
    </w:p>
    <w:p w:rsidR="007B3DEE" w:rsidRPr="00A90963" w:rsidRDefault="002A3949" w:rsidP="007B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65956" w:rsidRPr="00A90963">
        <w:rPr>
          <w:rFonts w:ascii="Times New Roman" w:hAnsi="Times New Roman" w:cs="Times New Roman"/>
          <w:sz w:val="28"/>
          <w:szCs w:val="28"/>
        </w:rPr>
        <w:t>в</w:t>
      </w:r>
      <w:r w:rsidR="00765956" w:rsidRPr="00A90963">
        <w:rPr>
          <w:rFonts w:ascii="Times New Roman" w:hAnsi="Times New Roman" w:cs="Times New Roman"/>
          <w:sz w:val="28"/>
        </w:rPr>
        <w:t>ысшим должностным лицам (руководителям высших исполнительных органов государственной власти) субъектов Российской Федерации  поручено</w:t>
      </w:r>
      <w:r w:rsidR="007B3DEE" w:rsidRPr="00A90963">
        <w:rPr>
          <w:rFonts w:ascii="Times New Roman" w:hAnsi="Times New Roman" w:cs="Times New Roman"/>
          <w:sz w:val="28"/>
        </w:rPr>
        <w:t>:</w:t>
      </w:r>
    </w:p>
    <w:p w:rsidR="007B3DEE" w:rsidRPr="00A90963" w:rsidRDefault="007B3DEE" w:rsidP="007B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>обеспечить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7B3DEE" w:rsidRPr="00A90963" w:rsidRDefault="007B3DEE" w:rsidP="007B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Федерации.</w:t>
      </w:r>
    </w:p>
    <w:p w:rsidR="002A3949" w:rsidRPr="00A90963" w:rsidRDefault="00B73785" w:rsidP="00B7378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</w:rPr>
        <w:tab/>
      </w:r>
      <w:r w:rsidR="002A3949" w:rsidRPr="00A90963">
        <w:rPr>
          <w:rFonts w:ascii="Times New Roman" w:hAnsi="Times New Roman" w:cs="Times New Roman"/>
          <w:sz w:val="28"/>
        </w:rPr>
        <w:t xml:space="preserve">2) </w:t>
      </w:r>
      <w:r w:rsidR="00722594" w:rsidRPr="00A90963">
        <w:rPr>
          <w:rFonts w:ascii="Times New Roman" w:hAnsi="Times New Roman" w:cs="Times New Roman"/>
          <w:sz w:val="28"/>
          <w:szCs w:val="28"/>
        </w:rPr>
        <w:t xml:space="preserve">утвержден </w:t>
      </w:r>
      <w:hyperlink r:id="rId6" w:history="1">
        <w:r w:rsidRPr="00A90963">
          <w:rPr>
            <w:rFonts w:ascii="Times New Roman" w:hAnsi="Times New Roman" w:cs="Times New Roman"/>
            <w:sz w:val="28"/>
            <w:szCs w:val="28"/>
          </w:rPr>
          <w:t>Национальный план</w:t>
        </w:r>
      </w:hyperlink>
      <w:r w:rsidRPr="00A90963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</w:t>
      </w:r>
      <w:r w:rsidR="002A3949" w:rsidRPr="00A90963">
        <w:rPr>
          <w:rFonts w:ascii="Times New Roman" w:hAnsi="Times New Roman" w:cs="Times New Roman"/>
          <w:sz w:val="28"/>
          <w:szCs w:val="28"/>
        </w:rPr>
        <w:t>.</w:t>
      </w:r>
    </w:p>
    <w:p w:rsidR="00765956" w:rsidRPr="00A90963" w:rsidRDefault="002A3949" w:rsidP="00B73785">
      <w:pPr>
        <w:spacing w:after="1" w:line="280" w:lineRule="atLeast"/>
        <w:jc w:val="both"/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указанного </w:t>
      </w:r>
      <w:hyperlink r:id="rId7" w:history="1">
        <w:r w:rsidRPr="00A90963">
          <w:rPr>
            <w:rFonts w:ascii="Times New Roman" w:hAnsi="Times New Roman" w:cs="Times New Roman"/>
            <w:sz w:val="28"/>
            <w:szCs w:val="28"/>
          </w:rPr>
          <w:t>Национального план</w:t>
        </w:r>
      </w:hyperlink>
      <w:r w:rsidRPr="00A90963">
        <w:rPr>
          <w:rFonts w:ascii="Times New Roman" w:hAnsi="Times New Roman" w:cs="Times New Roman"/>
          <w:sz w:val="28"/>
          <w:szCs w:val="28"/>
        </w:rPr>
        <w:t xml:space="preserve">а принято </w:t>
      </w:r>
      <w:r w:rsidR="00765956" w:rsidRPr="00A90963">
        <w:rPr>
          <w:rFonts w:ascii="Times New Roman" w:hAnsi="Times New Roman" w:cs="Times New Roman"/>
          <w:sz w:val="28"/>
        </w:rPr>
        <w:t>распоряжени</w:t>
      </w:r>
      <w:r w:rsidRPr="00A90963">
        <w:rPr>
          <w:rFonts w:ascii="Times New Roman" w:hAnsi="Times New Roman" w:cs="Times New Roman"/>
          <w:sz w:val="28"/>
        </w:rPr>
        <w:t>е</w:t>
      </w:r>
      <w:r w:rsidR="00765956" w:rsidRPr="00A90963">
        <w:rPr>
          <w:rFonts w:ascii="Times New Roman" w:hAnsi="Times New Roman" w:cs="Times New Roman"/>
          <w:sz w:val="28"/>
        </w:rPr>
        <w:t xml:space="preserve"> Правительства </w:t>
      </w:r>
      <w:r w:rsidR="00B73785" w:rsidRPr="00A9096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65956" w:rsidRPr="00A90963">
        <w:rPr>
          <w:rFonts w:ascii="Times New Roman" w:hAnsi="Times New Roman" w:cs="Times New Roman"/>
          <w:sz w:val="28"/>
        </w:rPr>
        <w:t xml:space="preserve">от 18.10.2018 </w:t>
      </w:r>
      <w:r w:rsidR="007F0E29" w:rsidRPr="00A90963">
        <w:rPr>
          <w:rFonts w:ascii="Times New Roman" w:hAnsi="Times New Roman" w:cs="Times New Roman"/>
          <w:sz w:val="28"/>
        </w:rPr>
        <w:t>№</w:t>
      </w:r>
      <w:r w:rsidR="00765956" w:rsidRPr="00A90963">
        <w:rPr>
          <w:rFonts w:ascii="Times New Roman" w:hAnsi="Times New Roman" w:cs="Times New Roman"/>
          <w:sz w:val="28"/>
        </w:rPr>
        <w:t xml:space="preserve"> 2258-р</w:t>
      </w:r>
      <w:r w:rsidR="001D7876" w:rsidRPr="00A90963">
        <w:rPr>
          <w:rFonts w:ascii="Times New Roman" w:hAnsi="Times New Roman" w:cs="Times New Roman"/>
          <w:sz w:val="28"/>
        </w:rPr>
        <w:t>, которым</w:t>
      </w:r>
      <w:r w:rsidR="00765956" w:rsidRPr="00A90963">
        <w:rPr>
          <w:rFonts w:ascii="Times New Roman" w:hAnsi="Times New Roman" w:cs="Times New Roman"/>
          <w:sz w:val="28"/>
        </w:rPr>
        <w:t xml:space="preserve"> </w:t>
      </w:r>
      <w:r w:rsidR="00765956" w:rsidRPr="00A90963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 рекомендовано создать и организовать систему внутреннего обеспечения соответствия требованиям антимонопольного законодательства</w:t>
      </w:r>
      <w:r w:rsidR="001F64D9" w:rsidRPr="00A90963">
        <w:rPr>
          <w:rFonts w:ascii="Times New Roman" w:hAnsi="Times New Roman" w:cs="Times New Roman"/>
          <w:sz w:val="28"/>
          <w:szCs w:val="28"/>
        </w:rPr>
        <w:t>.</w:t>
      </w:r>
    </w:p>
    <w:p w:rsidR="001F64D9" w:rsidRPr="00A90963" w:rsidRDefault="001F64D9" w:rsidP="00D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Во исполнение положений указанных актов в Удмуртской Республике принято распоряжение Главы  Удмуртской Республики от 18.02.2019 </w:t>
      </w:r>
      <w:r w:rsidR="007F0E29" w:rsidRPr="00A90963">
        <w:rPr>
          <w:rFonts w:ascii="Times New Roman" w:hAnsi="Times New Roman" w:cs="Times New Roman"/>
          <w:sz w:val="28"/>
          <w:szCs w:val="28"/>
        </w:rPr>
        <w:t>№</w:t>
      </w:r>
      <w:r w:rsidRPr="00A90963">
        <w:rPr>
          <w:rFonts w:ascii="Times New Roman" w:hAnsi="Times New Roman" w:cs="Times New Roman"/>
          <w:sz w:val="28"/>
          <w:szCs w:val="28"/>
        </w:rPr>
        <w:t xml:space="preserve"> 32-РГ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Pr="00A90963">
        <w:rPr>
          <w:rFonts w:ascii="Times New Roman" w:hAnsi="Times New Roman" w:cs="Times New Roman"/>
          <w:sz w:val="28"/>
          <w:szCs w:val="28"/>
        </w:rPr>
        <w:t>О внедрении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</w:t>
      </w:r>
      <w:r w:rsidR="00D9735D" w:rsidRPr="00A90963">
        <w:rPr>
          <w:rFonts w:ascii="Times New Roman" w:hAnsi="Times New Roman" w:cs="Times New Roman"/>
          <w:sz w:val="28"/>
          <w:szCs w:val="28"/>
        </w:rPr>
        <w:t xml:space="preserve"> (антимонопольного комплаенса)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="00D9735D" w:rsidRPr="00A90963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A90963">
        <w:rPr>
          <w:rFonts w:ascii="Times New Roman" w:hAnsi="Times New Roman" w:cs="Times New Roman"/>
          <w:sz w:val="28"/>
          <w:szCs w:val="28"/>
        </w:rPr>
        <w:t xml:space="preserve">руководителям исполнительных органов государственной власти Удмуртской Республики поручено </w:t>
      </w:r>
      <w:r w:rsidR="00C300B1" w:rsidRPr="00A90963">
        <w:rPr>
          <w:rFonts w:ascii="Times New Roman" w:hAnsi="Times New Roman" w:cs="Times New Roman"/>
          <w:sz w:val="28"/>
          <w:szCs w:val="28"/>
        </w:rPr>
        <w:t xml:space="preserve">до 01.09.2019 </w:t>
      </w:r>
      <w:r w:rsidRPr="00A90963">
        <w:rPr>
          <w:rFonts w:ascii="Times New Roman" w:hAnsi="Times New Roman" w:cs="Times New Roman"/>
          <w:sz w:val="28"/>
          <w:szCs w:val="28"/>
        </w:rPr>
        <w:t>принять правовые акты об организации системы антимонопольного комплаенса.</w:t>
      </w:r>
    </w:p>
    <w:p w:rsidR="006D7FB0" w:rsidRPr="00A90963" w:rsidRDefault="006D7FB0" w:rsidP="006D7FB0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lastRenderedPageBreak/>
        <w:t>Исходя из положений законодательства, осуществление государственной регистрации актов гражданского состояния хозяйствующими субъектами не предусмотрено. В Комитете риск нарушения антимонопольного законодательства возможен при осуществлении закупок товаров, работ, услуг для государственных нужд. Данным направлением деятельности занимается контрактная служба Комитет</w:t>
      </w:r>
      <w:r w:rsidR="00AE01E1" w:rsidRPr="00A90963">
        <w:rPr>
          <w:rFonts w:ascii="Times New Roman" w:hAnsi="Times New Roman" w:cs="Times New Roman"/>
          <w:sz w:val="28"/>
          <w:szCs w:val="28"/>
        </w:rPr>
        <w:t>а</w:t>
      </w:r>
      <w:r w:rsidRPr="00A90963">
        <w:rPr>
          <w:rFonts w:ascii="Times New Roman" w:hAnsi="Times New Roman" w:cs="Times New Roman"/>
          <w:sz w:val="28"/>
          <w:szCs w:val="28"/>
        </w:rPr>
        <w:t xml:space="preserve"> по делам ЗАГС при Правительстве Удмуртской Республики.</w:t>
      </w:r>
    </w:p>
    <w:p w:rsidR="00722594" w:rsidRPr="00A90963" w:rsidRDefault="007B3DEE" w:rsidP="00D9735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AE01E1" w:rsidRPr="00A9096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722594" w:rsidRPr="00A90963">
        <w:rPr>
          <w:rFonts w:ascii="Times New Roman" w:hAnsi="Times New Roman" w:cs="Times New Roman"/>
          <w:sz w:val="28"/>
          <w:szCs w:val="28"/>
        </w:rPr>
        <w:t xml:space="preserve">17.06.2019 Комитетом </w:t>
      </w:r>
      <w:r w:rsidR="001F64D9" w:rsidRPr="00A90963">
        <w:rPr>
          <w:rFonts w:ascii="Times New Roman" w:hAnsi="Times New Roman" w:cs="Times New Roman"/>
          <w:sz w:val="28"/>
          <w:szCs w:val="28"/>
        </w:rPr>
        <w:t>принят</w:t>
      </w:r>
      <w:r w:rsidR="00722594" w:rsidRPr="00A90963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F64D9" w:rsidRPr="00A90963">
        <w:rPr>
          <w:rFonts w:ascii="Times New Roman" w:hAnsi="Times New Roman" w:cs="Times New Roman"/>
          <w:sz w:val="28"/>
          <w:szCs w:val="28"/>
        </w:rPr>
        <w:t xml:space="preserve"> № 71</w:t>
      </w:r>
      <w:r w:rsidR="00FE26EA" w:rsidRPr="00A90963">
        <w:rPr>
          <w:rFonts w:ascii="Times New Roman" w:hAnsi="Times New Roman" w:cs="Times New Roman"/>
          <w:sz w:val="28"/>
          <w:szCs w:val="28"/>
        </w:rPr>
        <w:t xml:space="preserve">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="000F74D8" w:rsidRPr="00A90963">
        <w:rPr>
          <w:rFonts w:ascii="Times New Roman" w:hAnsi="Times New Roman" w:cs="Times New Roman"/>
          <w:sz w:val="28"/>
          <w:szCs w:val="28"/>
        </w:rPr>
        <w:t>О системе внутреннего обеспечения соответствия требованиям антимонопольного законодательства (антимонопольном комплаенсе) в Комитете по делам ЗАГС при Правительстве Удмуртской Республики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="00445C1E" w:rsidRPr="00A90963">
        <w:rPr>
          <w:rFonts w:ascii="Times New Roman" w:hAnsi="Times New Roman" w:cs="Times New Roman"/>
          <w:sz w:val="28"/>
          <w:szCs w:val="28"/>
        </w:rPr>
        <w:t xml:space="preserve"> (далее – Приказ № 71)</w:t>
      </w:r>
      <w:r w:rsidR="00722594" w:rsidRPr="00A90963">
        <w:rPr>
          <w:rFonts w:ascii="Times New Roman" w:hAnsi="Times New Roman" w:cs="Times New Roman"/>
          <w:sz w:val="28"/>
          <w:szCs w:val="28"/>
        </w:rPr>
        <w:t>, в соответствии с которым:</w:t>
      </w:r>
    </w:p>
    <w:p w:rsidR="000F74D8" w:rsidRPr="00A90963" w:rsidRDefault="00722594" w:rsidP="007B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>в Комитете создана система внутреннего обеспечения соответствия требованиям антимонопольного законодательства (антимонопольном комплаенсе);</w:t>
      </w:r>
    </w:p>
    <w:p w:rsidR="00722594" w:rsidRPr="00A90963" w:rsidRDefault="00722594" w:rsidP="007B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>утверждено  Положение об организации в Комитете по делам ЗАГС при Правительстве Удмуртской Республики системы внутреннего обеспечения соответствия требованиям антимонопольного законодательства (антимонопольного комплаенса);</w:t>
      </w:r>
    </w:p>
    <w:p w:rsidR="00722594" w:rsidRPr="00A90963" w:rsidRDefault="00722594" w:rsidP="0072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>определено должностное лицо, отвечающее за внедрение системы внутреннего обеспечения соответствия требованиям антимонопольного законодательства (антимонопольного комплаенса) деятельности Комитета, осуществляющее контроль за ее исполнением.</w:t>
      </w:r>
    </w:p>
    <w:p w:rsidR="007F0E29" w:rsidRPr="00A90963" w:rsidRDefault="007F0E29" w:rsidP="00722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AE01E1" w:rsidRPr="00A90963">
        <w:rPr>
          <w:rFonts w:ascii="Times New Roman" w:hAnsi="Times New Roman" w:cs="Times New Roman"/>
          <w:sz w:val="28"/>
          <w:szCs w:val="28"/>
        </w:rPr>
        <w:t xml:space="preserve">Приказом № 71 </w:t>
      </w:r>
      <w:r w:rsidRPr="00A90963">
        <w:rPr>
          <w:rFonts w:ascii="Times New Roman" w:hAnsi="Times New Roman" w:cs="Times New Roman"/>
          <w:sz w:val="28"/>
          <w:szCs w:val="28"/>
        </w:rPr>
        <w:t>сотрудники Комитета письменно ознакомлены.</w:t>
      </w:r>
      <w:r w:rsidR="0020229F" w:rsidRPr="00A90963">
        <w:rPr>
          <w:rFonts w:ascii="Times New Roman" w:hAnsi="Times New Roman" w:cs="Times New Roman"/>
          <w:sz w:val="28"/>
          <w:szCs w:val="28"/>
        </w:rPr>
        <w:t xml:space="preserve"> Все вновь принимаемые сотрудники Комитета с документом знакомятся</w:t>
      </w:r>
      <w:r w:rsidR="00AE01E1" w:rsidRPr="00A90963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20229F" w:rsidRPr="00A90963">
        <w:rPr>
          <w:rFonts w:ascii="Times New Roman" w:hAnsi="Times New Roman" w:cs="Times New Roman"/>
          <w:sz w:val="28"/>
          <w:szCs w:val="28"/>
        </w:rPr>
        <w:t>, им разъясняются основные положения антимонопольного комплаенса.</w:t>
      </w:r>
    </w:p>
    <w:p w:rsidR="00765956" w:rsidRPr="00A90963" w:rsidRDefault="000F74D8" w:rsidP="005E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>Кроме того, в целях организации системы антимонопольного комплаенса, в Комитете в 2019 году приняты:</w:t>
      </w:r>
    </w:p>
    <w:p w:rsidR="000F74D8" w:rsidRPr="00A90963" w:rsidRDefault="000F74D8" w:rsidP="005E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приказ  Комитета от 01.10.2019 № 102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Pr="00A90963">
        <w:rPr>
          <w:rFonts w:ascii="Times New Roman" w:hAnsi="Times New Roman" w:cs="Times New Roman"/>
          <w:sz w:val="28"/>
          <w:szCs w:val="28"/>
        </w:rPr>
        <w:t>Об утверждении Карты комплаенс-рисков нарушения антимонопольного законодательства в Комитете по делам ЗАГС при Правительстве Удмуртской Республики, Плана мероприятий (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Pr="00A90963">
        <w:rPr>
          <w:rFonts w:ascii="Times New Roman" w:hAnsi="Times New Roman" w:cs="Times New Roman"/>
          <w:sz w:val="28"/>
          <w:szCs w:val="28"/>
        </w:rPr>
        <w:t>дорожной карты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Pr="00A90963">
        <w:rPr>
          <w:rFonts w:ascii="Times New Roman" w:hAnsi="Times New Roman" w:cs="Times New Roman"/>
          <w:sz w:val="28"/>
          <w:szCs w:val="28"/>
        </w:rPr>
        <w:t>) по снижению рисков нарушения антимонопольного законодательства в Комитете по делам ЗАГС при Правительстве Удмуртской Республики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Pr="00A90963">
        <w:rPr>
          <w:rFonts w:ascii="Times New Roman" w:hAnsi="Times New Roman" w:cs="Times New Roman"/>
          <w:sz w:val="28"/>
          <w:szCs w:val="28"/>
        </w:rPr>
        <w:t>;</w:t>
      </w:r>
    </w:p>
    <w:p w:rsidR="005E5D9A" w:rsidRPr="00A90963" w:rsidRDefault="001F64D9" w:rsidP="005E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0F74D8" w:rsidRPr="00A90963"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 комплаенса Комитета по делам ЗАГС при Правительстве Удмуртской Республики на 2019 год, утвержденные председателем Комитета по делам ЗАГС при Правительстве Удмуртской Республики от 11.11.2019</w:t>
      </w:r>
      <w:r w:rsidR="00445C1E" w:rsidRPr="00A90963">
        <w:rPr>
          <w:rFonts w:ascii="Times New Roman" w:hAnsi="Times New Roman" w:cs="Times New Roman"/>
          <w:sz w:val="28"/>
          <w:szCs w:val="28"/>
        </w:rPr>
        <w:t xml:space="preserve"> (далее – Ключевые показатели)</w:t>
      </w:r>
      <w:r w:rsidR="000F74D8" w:rsidRPr="00A90963">
        <w:rPr>
          <w:rFonts w:ascii="Times New Roman" w:hAnsi="Times New Roman" w:cs="Times New Roman"/>
          <w:sz w:val="28"/>
          <w:szCs w:val="28"/>
        </w:rPr>
        <w:t>.</w:t>
      </w:r>
    </w:p>
    <w:p w:rsidR="00445C1E" w:rsidRPr="00A90963" w:rsidRDefault="00445C1E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>Согласно п.27 Приказа № 71 Доклад об антимонопольном комплаенсе должен содержать информацию:</w:t>
      </w:r>
    </w:p>
    <w:p w:rsidR="00445C1E" w:rsidRPr="00A90963" w:rsidRDefault="001D18D4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 xml:space="preserve">1) </w:t>
      </w:r>
      <w:r w:rsidR="00445C1E" w:rsidRPr="00A90963">
        <w:rPr>
          <w:rFonts w:ascii="Times New Roman" w:hAnsi="Times New Roman" w:cs="Times New Roman"/>
          <w:sz w:val="28"/>
          <w:szCs w:val="28"/>
        </w:rPr>
        <w:t>о результатах проведенной оценки рисков нарушения Комитетом антимонопольного законодательства;</w:t>
      </w:r>
    </w:p>
    <w:p w:rsidR="00445C1E" w:rsidRPr="00A90963" w:rsidRDefault="001D18D4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45C1E" w:rsidRPr="00A90963">
        <w:rPr>
          <w:rFonts w:ascii="Times New Roman" w:hAnsi="Times New Roman" w:cs="Times New Roman"/>
          <w:sz w:val="28"/>
          <w:szCs w:val="28"/>
        </w:rPr>
        <w:t>об исполнении мероприятий по снижению рисков нарушения Комитетом антимонопольного законодательства;</w:t>
      </w:r>
    </w:p>
    <w:p w:rsidR="00445C1E" w:rsidRPr="00A90963" w:rsidRDefault="001D18D4" w:rsidP="0044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 xml:space="preserve">3) </w:t>
      </w:r>
      <w:r w:rsidR="00445C1E" w:rsidRPr="00A90963">
        <w:rPr>
          <w:rFonts w:ascii="Times New Roman" w:hAnsi="Times New Roman" w:cs="Times New Roman"/>
          <w:sz w:val="28"/>
          <w:szCs w:val="28"/>
        </w:rPr>
        <w:t>о достижении ключевых показателей эффективности антимонопольного комплаенса.</w:t>
      </w:r>
    </w:p>
    <w:p w:rsidR="00AE01E1" w:rsidRPr="00A90963" w:rsidRDefault="00AE01E1" w:rsidP="00AE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Указанные положения соотносятся с </w:t>
      </w:r>
      <w:hyperlink r:id="rId8" w:history="1">
        <w:r w:rsidRPr="00A90963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Pr="00A90963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r w:rsidRPr="00A90963">
        <w:rPr>
          <w:rFonts w:ascii="Times New Roman" w:hAnsi="Times New Roman" w:cs="Times New Roman"/>
          <w:sz w:val="28"/>
        </w:rPr>
        <w:t xml:space="preserve">распоряжением Правительства </w:t>
      </w:r>
      <w:r w:rsidRPr="00A9096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90963">
        <w:rPr>
          <w:rFonts w:ascii="Times New Roman" w:hAnsi="Times New Roman" w:cs="Times New Roman"/>
          <w:sz w:val="28"/>
        </w:rPr>
        <w:t>от 18.10.2018 № 2258-р.</w:t>
      </w:r>
    </w:p>
    <w:p w:rsidR="00375A18" w:rsidRPr="00A90963" w:rsidRDefault="006D7FB0" w:rsidP="00445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445C1E" w:rsidRPr="00A90963">
        <w:rPr>
          <w:rFonts w:ascii="Times New Roman" w:hAnsi="Times New Roman" w:cs="Times New Roman"/>
          <w:sz w:val="28"/>
          <w:szCs w:val="28"/>
        </w:rPr>
        <w:t>Итак, во-первых, в</w:t>
      </w:r>
      <w:r w:rsidR="00375A18" w:rsidRPr="00A90963">
        <w:rPr>
          <w:rFonts w:ascii="Times New Roman" w:hAnsi="Times New Roman" w:cs="Times New Roman"/>
          <w:sz w:val="28"/>
          <w:szCs w:val="28"/>
        </w:rPr>
        <w:t xml:space="preserve"> целях выявления рисков нарушения антимонопольного законодательства структурными подразделениями Комитета, по своему направлению деятельности, </w:t>
      </w:r>
      <w:r w:rsidR="001D18D4" w:rsidRPr="00A90963">
        <w:rPr>
          <w:rFonts w:ascii="Times New Roman" w:hAnsi="Times New Roman" w:cs="Times New Roman"/>
          <w:sz w:val="28"/>
          <w:szCs w:val="28"/>
        </w:rPr>
        <w:t>проведены</w:t>
      </w:r>
      <w:r w:rsidR="00375A18" w:rsidRPr="00A9096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375A18" w:rsidRPr="00A90963" w:rsidRDefault="00375A18" w:rsidP="0037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Комитета за предыдущие 3 года (наличие предостережений, предупреждений, штрафов, жалоб, возбужденных дел)</w:t>
      </w:r>
      <w:r w:rsidR="001D18D4" w:rsidRPr="00A90963">
        <w:rPr>
          <w:rFonts w:ascii="Times New Roman" w:hAnsi="Times New Roman" w:cs="Times New Roman"/>
          <w:sz w:val="28"/>
          <w:szCs w:val="28"/>
        </w:rPr>
        <w:t xml:space="preserve"> – нарушений не установлено</w:t>
      </w:r>
      <w:r w:rsidR="00987871" w:rsidRPr="00A90963">
        <w:rPr>
          <w:rFonts w:ascii="Times New Roman" w:hAnsi="Times New Roman" w:cs="Times New Roman"/>
          <w:sz w:val="28"/>
          <w:szCs w:val="28"/>
        </w:rPr>
        <w:t xml:space="preserve"> (в т.ч. дела о нарушении антимонопольного законодательства не возбуждались, должностные лица к административной ответственности не привлекались, предупреждения не выдавались)</w:t>
      </w:r>
      <w:r w:rsidRPr="00A90963">
        <w:rPr>
          <w:rFonts w:ascii="Times New Roman" w:hAnsi="Times New Roman" w:cs="Times New Roman"/>
          <w:sz w:val="28"/>
          <w:szCs w:val="28"/>
        </w:rPr>
        <w:t>;</w:t>
      </w:r>
    </w:p>
    <w:p w:rsidR="00375A18" w:rsidRPr="00A90963" w:rsidRDefault="00375A18" w:rsidP="0037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>б) анализ нормативных правовых актов Комитета</w:t>
      </w:r>
      <w:r w:rsidR="001D18D4" w:rsidRPr="00A90963">
        <w:rPr>
          <w:rFonts w:ascii="Times New Roman" w:hAnsi="Times New Roman" w:cs="Times New Roman"/>
          <w:sz w:val="28"/>
          <w:szCs w:val="28"/>
        </w:rPr>
        <w:t xml:space="preserve"> - нарушений не установлено, нормативные документы регулярно и своевременно приводятся в соответствие с законодательством</w:t>
      </w:r>
      <w:r w:rsidRPr="00A90963">
        <w:rPr>
          <w:rFonts w:ascii="Times New Roman" w:hAnsi="Times New Roman" w:cs="Times New Roman"/>
          <w:sz w:val="28"/>
          <w:szCs w:val="28"/>
        </w:rPr>
        <w:t>;</w:t>
      </w:r>
    </w:p>
    <w:p w:rsidR="00375A18" w:rsidRPr="00A90963" w:rsidRDefault="00375A18" w:rsidP="0037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Комитета</w:t>
      </w:r>
      <w:r w:rsidR="001D18D4" w:rsidRPr="00A90963">
        <w:rPr>
          <w:rFonts w:ascii="Times New Roman" w:hAnsi="Times New Roman" w:cs="Times New Roman"/>
          <w:sz w:val="28"/>
          <w:szCs w:val="28"/>
        </w:rPr>
        <w:t xml:space="preserve"> –</w:t>
      </w:r>
      <w:r w:rsidR="00987871" w:rsidRPr="00A90963">
        <w:rPr>
          <w:rFonts w:ascii="Times New Roman" w:hAnsi="Times New Roman" w:cs="Times New Roman"/>
          <w:sz w:val="28"/>
          <w:szCs w:val="28"/>
        </w:rPr>
        <w:t xml:space="preserve"> при разработке проектов нормативных правовых актов, разработчиком которых выступает Комитет, учитываются нормы антимонопольного законодательства, </w:t>
      </w:r>
      <w:r w:rsidR="006D7FB0" w:rsidRPr="00A90963">
        <w:rPr>
          <w:rFonts w:ascii="Times New Roman" w:hAnsi="Times New Roman" w:cs="Times New Roman"/>
          <w:sz w:val="28"/>
          <w:szCs w:val="28"/>
        </w:rPr>
        <w:t xml:space="preserve">в отношении проекта проводится правовая экспертиза, </w:t>
      </w:r>
      <w:r w:rsidR="00987871" w:rsidRPr="00A90963">
        <w:rPr>
          <w:rFonts w:ascii="Times New Roman" w:hAnsi="Times New Roman" w:cs="Times New Roman"/>
          <w:sz w:val="28"/>
          <w:szCs w:val="28"/>
        </w:rPr>
        <w:t xml:space="preserve">проекты размещаются в установленном порядке на официальном сайте Комитета в информационно-телекоммуникационной сети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="00987871" w:rsidRPr="00A90963">
        <w:rPr>
          <w:rFonts w:ascii="Times New Roman" w:hAnsi="Times New Roman" w:cs="Times New Roman"/>
          <w:sz w:val="28"/>
          <w:szCs w:val="28"/>
        </w:rPr>
        <w:t>Интернет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="00987871" w:rsidRPr="00A90963">
        <w:rPr>
          <w:rFonts w:ascii="Times New Roman" w:hAnsi="Times New Roman" w:cs="Times New Roman"/>
          <w:sz w:val="28"/>
          <w:szCs w:val="28"/>
        </w:rPr>
        <w:t>. Замечаний и предложений не поступало</w:t>
      </w:r>
      <w:r w:rsidRPr="00A90963">
        <w:rPr>
          <w:rFonts w:ascii="Times New Roman" w:hAnsi="Times New Roman" w:cs="Times New Roman"/>
          <w:sz w:val="28"/>
          <w:szCs w:val="28"/>
        </w:rPr>
        <w:t>;</w:t>
      </w:r>
    </w:p>
    <w:p w:rsidR="00375A18" w:rsidRPr="00A90963" w:rsidRDefault="00375A18" w:rsidP="0037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Комитетом антимонопольного законодательства</w:t>
      </w:r>
      <w:r w:rsidR="00636EA3" w:rsidRPr="00A90963">
        <w:rPr>
          <w:rFonts w:ascii="Times New Roman" w:hAnsi="Times New Roman" w:cs="Times New Roman"/>
          <w:sz w:val="28"/>
          <w:szCs w:val="28"/>
        </w:rPr>
        <w:t xml:space="preserve"> – антимонопольное законодательство регулярно мониторится Контрактной службой Комитета по делам ЗАГС при Правительстве Удмуртской Республики, на рабочих совещаниях</w:t>
      </w:r>
      <w:r w:rsidR="006D7FB0" w:rsidRPr="00A90963">
        <w:rPr>
          <w:rFonts w:ascii="Times New Roman" w:hAnsi="Times New Roman" w:cs="Times New Roman"/>
          <w:sz w:val="28"/>
          <w:szCs w:val="28"/>
        </w:rPr>
        <w:t xml:space="preserve"> и</w:t>
      </w:r>
      <w:r w:rsidR="00E33093" w:rsidRPr="00A90963">
        <w:rPr>
          <w:rFonts w:ascii="Times New Roman" w:hAnsi="Times New Roman" w:cs="Times New Roman"/>
          <w:sz w:val="28"/>
          <w:szCs w:val="28"/>
        </w:rPr>
        <w:t xml:space="preserve"> профильных учебах</w:t>
      </w:r>
      <w:r w:rsidR="00636EA3" w:rsidRPr="00A90963">
        <w:rPr>
          <w:rFonts w:ascii="Times New Roman" w:hAnsi="Times New Roman" w:cs="Times New Roman"/>
          <w:sz w:val="28"/>
          <w:szCs w:val="28"/>
        </w:rPr>
        <w:t xml:space="preserve"> обсуждаются новшества</w:t>
      </w:r>
      <w:r w:rsidRPr="00A90963">
        <w:rPr>
          <w:rFonts w:ascii="Times New Roman" w:hAnsi="Times New Roman" w:cs="Times New Roman"/>
          <w:sz w:val="28"/>
          <w:szCs w:val="28"/>
        </w:rPr>
        <w:t>;</w:t>
      </w:r>
    </w:p>
    <w:p w:rsidR="00375A18" w:rsidRPr="00A90963" w:rsidRDefault="00375A18" w:rsidP="0037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</w:r>
      <w:r w:rsidR="00636EA3" w:rsidRPr="00A90963">
        <w:rPr>
          <w:rFonts w:ascii="Times New Roman" w:hAnsi="Times New Roman" w:cs="Times New Roman"/>
          <w:sz w:val="28"/>
          <w:szCs w:val="28"/>
        </w:rPr>
        <w:t xml:space="preserve"> –  </w:t>
      </w:r>
      <w:r w:rsidR="00987871" w:rsidRPr="00A90963">
        <w:rPr>
          <w:rFonts w:ascii="Times New Roman" w:hAnsi="Times New Roman" w:cs="Times New Roman"/>
          <w:sz w:val="28"/>
          <w:szCs w:val="28"/>
        </w:rPr>
        <w:t>мониторинг судебной практики, правовых актов Комитета</w:t>
      </w:r>
      <w:r w:rsidRPr="00A90963">
        <w:rPr>
          <w:rFonts w:ascii="Times New Roman" w:hAnsi="Times New Roman" w:cs="Times New Roman"/>
          <w:sz w:val="28"/>
          <w:szCs w:val="28"/>
        </w:rPr>
        <w:t>.</w:t>
      </w:r>
    </w:p>
    <w:p w:rsidR="00EC2838" w:rsidRPr="00A90963" w:rsidRDefault="00375A18" w:rsidP="005E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445C1E" w:rsidRPr="00A90963">
        <w:rPr>
          <w:rFonts w:ascii="Times New Roman" w:hAnsi="Times New Roman" w:cs="Times New Roman"/>
          <w:sz w:val="28"/>
          <w:szCs w:val="28"/>
        </w:rPr>
        <w:t>Во-вторых, в</w:t>
      </w:r>
      <w:r w:rsidR="00EC2838" w:rsidRPr="00A90963">
        <w:rPr>
          <w:rFonts w:ascii="Times New Roman" w:hAnsi="Times New Roman" w:cs="Times New Roman"/>
          <w:bCs/>
          <w:sz w:val="28"/>
          <w:szCs w:val="28"/>
        </w:rPr>
        <w:t xml:space="preserve"> целях снижения рисков нарушения антимонопольного законодательства Комитетом утвержден </w:t>
      </w:r>
      <w:r w:rsidR="00EC2838" w:rsidRPr="00A90963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="00EC2838" w:rsidRPr="00A90963">
        <w:rPr>
          <w:rFonts w:ascii="Times New Roman" w:hAnsi="Times New Roman" w:cs="Times New Roman"/>
          <w:sz w:val="28"/>
          <w:szCs w:val="28"/>
        </w:rPr>
        <w:t>дорожной карты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="00EC2838" w:rsidRPr="00A90963">
        <w:rPr>
          <w:rFonts w:ascii="Times New Roman" w:hAnsi="Times New Roman" w:cs="Times New Roman"/>
          <w:sz w:val="28"/>
          <w:szCs w:val="28"/>
        </w:rPr>
        <w:t>) по снижению рисков нарушения антимонопольного законодательства в Комитете по делам ЗАГС при Правительстве Удмуртской Республики (приказ  Комитета от 01.10.2019 № 102), в рамках которого</w:t>
      </w:r>
      <w:r w:rsidR="00836A15" w:rsidRPr="00A90963">
        <w:rPr>
          <w:rFonts w:ascii="Times New Roman" w:hAnsi="Times New Roman" w:cs="Times New Roman"/>
          <w:sz w:val="28"/>
          <w:szCs w:val="28"/>
        </w:rPr>
        <w:t xml:space="preserve"> </w:t>
      </w:r>
      <w:r w:rsidR="00836A15" w:rsidRPr="00A90963">
        <w:rPr>
          <w:rFonts w:ascii="Times New Roman" w:hAnsi="Times New Roman" w:cs="Times New Roman"/>
          <w:sz w:val="28"/>
          <w:szCs w:val="28"/>
        </w:rPr>
        <w:lastRenderedPageBreak/>
        <w:t>структурными подразделениями Комитета, по своему направлению деятельности, на регулярной основе осуществля</w:t>
      </w:r>
      <w:r w:rsidR="00987871" w:rsidRPr="00A90963">
        <w:rPr>
          <w:rFonts w:ascii="Times New Roman" w:hAnsi="Times New Roman" w:cs="Times New Roman"/>
          <w:sz w:val="28"/>
          <w:szCs w:val="28"/>
        </w:rPr>
        <w:t>ют</w:t>
      </w:r>
      <w:r w:rsidR="008C5B4C" w:rsidRPr="00A90963">
        <w:rPr>
          <w:rFonts w:ascii="Times New Roman" w:hAnsi="Times New Roman" w:cs="Times New Roman"/>
          <w:sz w:val="28"/>
          <w:szCs w:val="28"/>
        </w:rPr>
        <w:t>ся</w:t>
      </w:r>
      <w:r w:rsidR="00EC2838" w:rsidRPr="00A90963">
        <w:rPr>
          <w:rFonts w:ascii="Times New Roman" w:hAnsi="Times New Roman" w:cs="Times New Roman"/>
          <w:sz w:val="28"/>
          <w:szCs w:val="28"/>
        </w:rPr>
        <w:t>:</w:t>
      </w:r>
    </w:p>
    <w:p w:rsidR="00375A18" w:rsidRPr="00A90963" w:rsidRDefault="00EC2838" w:rsidP="005E5D9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836A15" w:rsidRPr="00A90963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Комитета, проектов нормативных правовых актов Комитета на предмет соответствия </w:t>
      </w:r>
      <w:r w:rsidR="00836A15" w:rsidRPr="00A90963">
        <w:rPr>
          <w:rFonts w:ascii="Times New Roman" w:hAnsi="Times New Roman" w:cs="Times New Roman"/>
          <w:bCs/>
          <w:sz w:val="28"/>
          <w:szCs w:val="28"/>
        </w:rPr>
        <w:t>антимонопольному законодательству;</w:t>
      </w:r>
    </w:p>
    <w:p w:rsidR="00836A15" w:rsidRPr="00A90963" w:rsidRDefault="00836A15" w:rsidP="005E5D9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963">
        <w:rPr>
          <w:rFonts w:ascii="Times New Roman" w:hAnsi="Times New Roman" w:cs="Times New Roman"/>
          <w:bCs/>
          <w:sz w:val="28"/>
          <w:szCs w:val="28"/>
        </w:rPr>
        <w:tab/>
        <w:t>мониторинг и анализ практик правоприменения антимонопольного законодательства</w:t>
      </w:r>
      <w:r w:rsidR="00901D16" w:rsidRPr="00A90963">
        <w:rPr>
          <w:rFonts w:ascii="Times New Roman" w:hAnsi="Times New Roman" w:cs="Times New Roman"/>
          <w:bCs/>
          <w:sz w:val="28"/>
          <w:szCs w:val="28"/>
        </w:rPr>
        <w:t xml:space="preserve"> (в т.ч. правовая система </w:t>
      </w:r>
      <w:r w:rsidR="007F0E29" w:rsidRPr="00A90963">
        <w:rPr>
          <w:rFonts w:ascii="Times New Roman" w:hAnsi="Times New Roman" w:cs="Times New Roman"/>
          <w:bCs/>
          <w:sz w:val="28"/>
          <w:szCs w:val="28"/>
        </w:rPr>
        <w:t>«</w:t>
      </w:r>
      <w:r w:rsidR="00901D16" w:rsidRPr="00A90963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r w:rsidR="007F0E29" w:rsidRPr="00A90963">
        <w:rPr>
          <w:rFonts w:ascii="Times New Roman" w:hAnsi="Times New Roman" w:cs="Times New Roman"/>
          <w:bCs/>
          <w:sz w:val="28"/>
          <w:szCs w:val="28"/>
        </w:rPr>
        <w:t>»</w:t>
      </w:r>
      <w:r w:rsidR="00901D16" w:rsidRPr="00A90963">
        <w:rPr>
          <w:rFonts w:ascii="Times New Roman" w:hAnsi="Times New Roman" w:cs="Times New Roman"/>
          <w:bCs/>
          <w:sz w:val="28"/>
          <w:szCs w:val="28"/>
        </w:rPr>
        <w:t xml:space="preserve">, официальные сайты </w:t>
      </w:r>
      <w:r w:rsidR="00901D16" w:rsidRPr="00A90963">
        <w:rPr>
          <w:rStyle w:val="left"/>
          <w:rFonts w:ascii="Times New Roman" w:hAnsi="Times New Roman" w:cs="Times New Roman"/>
          <w:sz w:val="28"/>
          <w:szCs w:val="28"/>
        </w:rPr>
        <w:t>Управления Федеральной антимонопольной службы</w:t>
      </w:r>
      <w:r w:rsidR="00901D16" w:rsidRPr="00A90963">
        <w:rPr>
          <w:rFonts w:ascii="Times New Roman" w:hAnsi="Times New Roman" w:cs="Times New Roman"/>
          <w:sz w:val="28"/>
          <w:szCs w:val="28"/>
        </w:rPr>
        <w:br/>
      </w:r>
      <w:r w:rsidR="00901D16" w:rsidRPr="00A90963">
        <w:rPr>
          <w:rStyle w:val="left"/>
          <w:rFonts w:ascii="Times New Roman" w:hAnsi="Times New Roman" w:cs="Times New Roman"/>
          <w:sz w:val="28"/>
          <w:szCs w:val="28"/>
        </w:rPr>
        <w:t>по Удмуртской Республике</w:t>
      </w:r>
      <w:r w:rsidR="00901D16" w:rsidRPr="00A9096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01D16" w:rsidRPr="00A90963">
        <w:rPr>
          <w:rFonts w:ascii="Times New Roman" w:hAnsi="Times New Roman" w:cs="Times New Roman"/>
          <w:sz w:val="28"/>
          <w:szCs w:val="28"/>
        </w:rPr>
        <w:t>управления Генеральной прокуратуры Российской Федерации в Приволжском федеральном округе</w:t>
      </w:r>
      <w:r w:rsidR="00901D16" w:rsidRPr="00A90963">
        <w:rPr>
          <w:rFonts w:ascii="Times New Roman" w:hAnsi="Times New Roman" w:cs="Times New Roman"/>
          <w:bCs/>
          <w:sz w:val="28"/>
          <w:szCs w:val="28"/>
        </w:rPr>
        <w:t>)</w:t>
      </w:r>
      <w:r w:rsidRPr="00A90963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A15" w:rsidRPr="00A90963" w:rsidRDefault="00836A15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</w:t>
      </w:r>
      <w:r w:rsidR="00030E97" w:rsidRPr="00A90963">
        <w:rPr>
          <w:rFonts w:ascii="Times New Roman" w:hAnsi="Times New Roman" w:cs="Times New Roman"/>
          <w:bCs/>
          <w:sz w:val="28"/>
          <w:szCs w:val="28"/>
        </w:rPr>
        <w:t xml:space="preserve"> по законодательству</w:t>
      </w:r>
      <w:r w:rsidR="00030E97" w:rsidRPr="00A90963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DD7B7F" w:rsidRPr="00A90963">
        <w:rPr>
          <w:rFonts w:ascii="Times New Roman" w:hAnsi="Times New Roman" w:cs="Times New Roman"/>
          <w:sz w:val="28"/>
          <w:szCs w:val="28"/>
        </w:rPr>
        <w:t xml:space="preserve"> (2 чел. в 2019 г. - программа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="00DD7B7F" w:rsidRPr="00A90963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="00DD7B7F" w:rsidRPr="00A90963">
        <w:rPr>
          <w:rFonts w:ascii="Times New Roman" w:hAnsi="Times New Roman" w:cs="Times New Roman"/>
          <w:sz w:val="28"/>
          <w:szCs w:val="28"/>
        </w:rPr>
        <w:t xml:space="preserve">, в 2018 г. – </w:t>
      </w:r>
      <w:r w:rsidR="00901D16" w:rsidRPr="00A90963">
        <w:rPr>
          <w:rFonts w:ascii="Times New Roman" w:hAnsi="Times New Roman" w:cs="Times New Roman"/>
          <w:sz w:val="28"/>
          <w:szCs w:val="28"/>
        </w:rPr>
        <w:t>5</w:t>
      </w:r>
      <w:r w:rsidR="00DD7B7F" w:rsidRPr="00A90963">
        <w:rPr>
          <w:rFonts w:ascii="Times New Roman" w:hAnsi="Times New Roman" w:cs="Times New Roman"/>
          <w:sz w:val="28"/>
          <w:szCs w:val="28"/>
        </w:rPr>
        <w:t xml:space="preserve"> чел. по программ</w:t>
      </w:r>
      <w:r w:rsidR="00901D16" w:rsidRPr="00A90963">
        <w:rPr>
          <w:rFonts w:ascii="Times New Roman" w:hAnsi="Times New Roman" w:cs="Times New Roman"/>
          <w:sz w:val="28"/>
          <w:szCs w:val="28"/>
        </w:rPr>
        <w:t>ам</w:t>
      </w:r>
      <w:r w:rsidR="00DD7B7F" w:rsidRPr="00A90963">
        <w:rPr>
          <w:rFonts w:ascii="Times New Roman" w:hAnsi="Times New Roman" w:cs="Times New Roman"/>
          <w:sz w:val="28"/>
          <w:szCs w:val="28"/>
        </w:rPr>
        <w:t xml:space="preserve">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="00DD7B7F" w:rsidRPr="00A90963">
        <w:rPr>
          <w:rFonts w:ascii="Times New Roman" w:hAnsi="Times New Roman" w:cs="Times New Roman"/>
          <w:sz w:val="28"/>
          <w:szCs w:val="28"/>
        </w:rPr>
        <w:t xml:space="preserve">Совершенствование системы государственного </w:t>
      </w:r>
      <w:r w:rsidR="00901D16" w:rsidRPr="00A90963">
        <w:rPr>
          <w:rFonts w:ascii="Times New Roman" w:hAnsi="Times New Roman" w:cs="Times New Roman"/>
          <w:sz w:val="28"/>
          <w:szCs w:val="28"/>
        </w:rPr>
        <w:t>управления</w:t>
      </w:r>
      <w:r w:rsidR="00DD7B7F" w:rsidRPr="00A90963">
        <w:rPr>
          <w:rFonts w:ascii="Times New Roman" w:hAnsi="Times New Roman" w:cs="Times New Roman"/>
          <w:sz w:val="28"/>
          <w:szCs w:val="28"/>
        </w:rPr>
        <w:t xml:space="preserve"> в </w:t>
      </w:r>
      <w:r w:rsidR="00901D16" w:rsidRPr="00A90963">
        <w:rPr>
          <w:rFonts w:ascii="Times New Roman" w:hAnsi="Times New Roman" w:cs="Times New Roman"/>
          <w:sz w:val="28"/>
          <w:szCs w:val="28"/>
        </w:rPr>
        <w:t>Удмуртской Республике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="00901D16" w:rsidRPr="00A90963">
        <w:rPr>
          <w:rFonts w:ascii="Times New Roman" w:hAnsi="Times New Roman" w:cs="Times New Roman"/>
          <w:sz w:val="28"/>
          <w:szCs w:val="28"/>
        </w:rPr>
        <w:t xml:space="preserve">,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="00901D16" w:rsidRPr="00A90963">
        <w:rPr>
          <w:rFonts w:ascii="Times New Roman" w:hAnsi="Times New Roman" w:cs="Times New Roman"/>
          <w:sz w:val="28"/>
          <w:szCs w:val="28"/>
        </w:rPr>
        <w:t xml:space="preserve">Обучение специалистов государственных заказчиков работе в Модуле </w:t>
      </w:r>
      <w:r w:rsidR="007F0E29" w:rsidRPr="00A90963">
        <w:rPr>
          <w:rFonts w:ascii="Times New Roman" w:hAnsi="Times New Roman" w:cs="Times New Roman"/>
          <w:sz w:val="28"/>
          <w:szCs w:val="28"/>
        </w:rPr>
        <w:t>«</w:t>
      </w:r>
      <w:r w:rsidR="00901D16" w:rsidRPr="00A90963">
        <w:rPr>
          <w:rFonts w:ascii="Times New Roman" w:hAnsi="Times New Roman" w:cs="Times New Roman"/>
          <w:sz w:val="28"/>
          <w:szCs w:val="28"/>
        </w:rPr>
        <w:t>Малые закупки</w:t>
      </w:r>
      <w:r w:rsidR="007F0E29" w:rsidRPr="00A90963">
        <w:rPr>
          <w:rFonts w:ascii="Times New Roman" w:hAnsi="Times New Roman" w:cs="Times New Roman"/>
          <w:sz w:val="28"/>
          <w:szCs w:val="28"/>
        </w:rPr>
        <w:t>»</w:t>
      </w:r>
      <w:r w:rsidR="00DD7B7F" w:rsidRPr="00A90963">
        <w:rPr>
          <w:rFonts w:ascii="Times New Roman" w:hAnsi="Times New Roman" w:cs="Times New Roman"/>
          <w:sz w:val="28"/>
          <w:szCs w:val="28"/>
        </w:rPr>
        <w:t>)</w:t>
      </w:r>
      <w:r w:rsidR="00356CF6" w:rsidRPr="00A90963">
        <w:rPr>
          <w:rFonts w:ascii="Times New Roman" w:hAnsi="Times New Roman" w:cs="Times New Roman"/>
          <w:sz w:val="28"/>
          <w:szCs w:val="28"/>
        </w:rPr>
        <w:t>.</w:t>
      </w:r>
    </w:p>
    <w:p w:rsidR="00BE7AD4" w:rsidRPr="00A90963" w:rsidRDefault="00BE7AD4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 xml:space="preserve">Также в семинарах, организуемых Министерством экономики </w:t>
      </w:r>
      <w:r w:rsidRPr="00A90963">
        <w:rPr>
          <w:rStyle w:val="left"/>
          <w:rFonts w:ascii="Times New Roman" w:hAnsi="Times New Roman" w:cs="Times New Roman"/>
          <w:sz w:val="28"/>
          <w:szCs w:val="28"/>
        </w:rPr>
        <w:t>Удмуртской Республики и</w:t>
      </w:r>
      <w:r w:rsidRPr="00A90963">
        <w:rPr>
          <w:rFonts w:ascii="Times New Roman" w:hAnsi="Times New Roman" w:cs="Times New Roman"/>
          <w:bCs/>
          <w:sz w:val="28"/>
          <w:szCs w:val="28"/>
        </w:rPr>
        <w:t xml:space="preserve"> Управлением ФАС по </w:t>
      </w:r>
      <w:r w:rsidRPr="00A90963">
        <w:rPr>
          <w:rStyle w:val="left"/>
          <w:rFonts w:ascii="Times New Roman" w:hAnsi="Times New Roman" w:cs="Times New Roman"/>
          <w:sz w:val="28"/>
          <w:szCs w:val="28"/>
        </w:rPr>
        <w:t xml:space="preserve">Удмуртской Республике в 2018, 2019 годах </w:t>
      </w:r>
      <w:r w:rsidRPr="00A90963">
        <w:rPr>
          <w:rFonts w:ascii="Times New Roman" w:hAnsi="Times New Roman" w:cs="Times New Roman"/>
          <w:sz w:val="28"/>
          <w:szCs w:val="28"/>
        </w:rPr>
        <w:t>по вопросу антимонопольного законодательства, приняли участие 2 сотрудника Комитета.</w:t>
      </w:r>
    </w:p>
    <w:p w:rsidR="00445C1E" w:rsidRPr="00A90963" w:rsidRDefault="00445C1E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  <w:t>В-третьих, к вопросу о достижении Комитетом Ключевых показателей:</w:t>
      </w:r>
    </w:p>
    <w:tbl>
      <w:tblPr>
        <w:tblStyle w:val="a8"/>
        <w:tblW w:w="0" w:type="auto"/>
        <w:tblLook w:val="04A0"/>
      </w:tblPr>
      <w:tblGrid>
        <w:gridCol w:w="690"/>
        <w:gridCol w:w="3799"/>
        <w:gridCol w:w="2974"/>
        <w:gridCol w:w="2107"/>
      </w:tblGrid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значения ключевого показателя (балл)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 ключевого показателя (балл)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</w:tcPr>
          <w:p w:rsidR="00445C1E" w:rsidRPr="00A90963" w:rsidRDefault="00445C1E" w:rsidP="0044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правового акта Комитета об антимонопольном комплаенсе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0-правовой акт не принят;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 правовой акт принят;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2-в отчетном периоде в правовой акт вносились изменения, направленные на совершенствование системы  антимонопольного комплаенса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Определение уполномоченного подразделения (должностного лица)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0-уполномоченное подразделение (должностное лицо) не определено;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1-уполномоченное 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 (должностное лицо)  определено;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2-уполномоченное подразделение (должностное лицо)  определено и ведет активную работу по профилактике и предупреждению нарушений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карты комплаенс-рисков 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0-карта не утверждена;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 карта утверждена;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2-карта актуализируется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1E1" w:rsidRPr="00A9096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и оценке нарушений антимонопольного законодательства, учет обстоятельств, связанных с рисками нарушения, определение вероятности их возникновения (в том числе за предшествующие 3 года) 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0-работа по проведению рисков не проводится;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1-риски выявлены только при внедрении антимонопольного комплаенса;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2-риски выявляются на постоянной основе, актуализируется вероятность их возникновения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практики применения антимонопольного законодательства в Комитете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0-мониторинг и анализ не проводятся;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1-мониторинг и анализ проводятся только при внедрении антимонопольного комплаенса;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2- мониторинг и анализ проводятся на постоянной основе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(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) по снижению комплаенс-рисков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0-план мероприятий не утвержден;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1-план мероприятий утвержден;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2-план мероприятий актуализируется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1E1" w:rsidRPr="00A9096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государственных гражданских служащих Удмуртской Республики в Комитете (далее - служащий) (работников) требованиям антимонопольного законодательства и антимонопольного комплаенса 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0-обучение не проводится;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1-проводится вводный (первичный) инструктаж;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2-проводится вводный и целевой  (внеплановый) инструктаж</w:t>
            </w:r>
          </w:p>
        </w:tc>
        <w:tc>
          <w:tcPr>
            <w:tcW w:w="2107" w:type="dxa"/>
          </w:tcPr>
          <w:p w:rsidR="00445C1E" w:rsidRPr="00A90963" w:rsidRDefault="007B3DE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Консультирование служащих (работников), руководства Комитета по вопросам, связанным с  антимонопольным комплаенсом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0-консультирование не проводится;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1-консультирование проводится;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2-консультирование проводится, по итогам консультирования вопросы обобщаются  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Комитета (далее - НПА) на наличие признаков нарушения  антимонопольного законодательства при проведении мониторинга НПА и мониторинга их правоприменения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0-мониторинг и анализ не проводятся;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 мониторинг и анализ проводятся на постоянной основе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НПА, разработанных Комитетом в течение 2019 года, на официальном сайте в информационно-телекоммуникационной сети 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 либо в ГИС УР 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Интернет-портал для публичного обсуждения проектов и действующих нормативных правовых актов Удмуртской Республики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 xml:space="preserve"> в  информационно-телекоммуникационной сети 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F0E29" w:rsidRPr="00A9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0-проекты НПА не размещаются или размещаются без возможности сбора замечаний и предложений организаций и граждан по данным НПА;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1-проекты НПА размещаются, предусмотрена возможность сбора замечаний и предложений организаций и граждан по данным НПА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Информирование председателя Комитета о локальных актах, которые могут повлечь нарушение антимонопольного законодательства, противоречить  антимонопольному законодательству и антимонопольному комплаенсу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0-локальные акты не анализируются;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1-локальные акты анализируются, информация доводится до председателя Комитета;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2- локальные акты анализируются, информация доводится до председателя Комитета и  до служащих (работников)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Выявление конфликта интересов в деятельности служащих (работников) и структурных подразделений Комитета, разработка предложений по их исключению, проведение служебных проверок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0-работа по выявлению конфликта интересов, служебные проверки не проводятся;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>1-работа по выявлению конфликта интересов, служебные проверки  проводятся на постоянной основе;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2- работа по выявлению конфликта интересов, служебные проверки  проводятся на постоянной основе, разрабатываются предложения по устранению нарушений, информация доводится до служащих (работников)</w:t>
            </w:r>
          </w:p>
        </w:tc>
        <w:tc>
          <w:tcPr>
            <w:tcW w:w="2107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Доклад об антимонопольном комплаенсе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0-доклад не подготовлен;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1-доклад подписан председателем Комитета;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2- доклад подписан председателем Комитета и утвержден Общественным советом при Комитете по делам ЗАГС при Правительстве Удмуртской Республики  </w:t>
            </w:r>
          </w:p>
        </w:tc>
        <w:tc>
          <w:tcPr>
            <w:tcW w:w="2107" w:type="dxa"/>
          </w:tcPr>
          <w:p w:rsidR="00445C1E" w:rsidRPr="00A90963" w:rsidRDefault="007B3DE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45C1E" w:rsidRPr="00A90963" w:rsidTr="00D854C2">
        <w:tc>
          <w:tcPr>
            <w:tcW w:w="690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99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нарушений антимонопольного законодательства со стороны Комитета по сравнению с прошлым годом</w:t>
            </w:r>
          </w:p>
        </w:tc>
        <w:tc>
          <w:tcPr>
            <w:tcW w:w="2974" w:type="dxa"/>
          </w:tcPr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0-количество нарушений по сравнению с прошлым годом увеличилось, осталось на прежнем уровне;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1-количество нарушений по сравнению с прошлым годом снизилось;</w:t>
            </w:r>
          </w:p>
          <w:p w:rsidR="00445C1E" w:rsidRPr="00A90963" w:rsidRDefault="00445C1E" w:rsidP="00B737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2-нарушения в отчетном году отсутствуют </w:t>
            </w:r>
          </w:p>
        </w:tc>
        <w:tc>
          <w:tcPr>
            <w:tcW w:w="2107" w:type="dxa"/>
          </w:tcPr>
          <w:p w:rsidR="00445C1E" w:rsidRPr="00A90963" w:rsidRDefault="00D854C2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4C2" w:rsidRPr="00A90963" w:rsidTr="00B73785">
        <w:tc>
          <w:tcPr>
            <w:tcW w:w="7463" w:type="dxa"/>
            <w:gridSpan w:val="3"/>
          </w:tcPr>
          <w:p w:rsidR="00D854C2" w:rsidRPr="00A90963" w:rsidRDefault="00D854C2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07" w:type="dxa"/>
          </w:tcPr>
          <w:p w:rsidR="00D854C2" w:rsidRPr="00A90963" w:rsidRDefault="007B3DEE" w:rsidP="00B73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9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E01E1" w:rsidRPr="00A90963" w:rsidRDefault="00987871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AE01E1" w:rsidRPr="00A90963">
        <w:rPr>
          <w:rFonts w:ascii="Times New Roman" w:hAnsi="Times New Roman" w:cs="Times New Roman"/>
          <w:sz w:val="28"/>
          <w:szCs w:val="28"/>
        </w:rPr>
        <w:t>*мероприятия осуществлены в 2020 году.</w:t>
      </w:r>
    </w:p>
    <w:p w:rsidR="00AE01E1" w:rsidRPr="00A90963" w:rsidRDefault="00AE01E1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5C" w:rsidRPr="00A90963" w:rsidRDefault="00AE01E1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987871" w:rsidRPr="00A90963">
        <w:rPr>
          <w:rFonts w:ascii="Times New Roman" w:hAnsi="Times New Roman" w:cs="Times New Roman"/>
          <w:sz w:val="28"/>
          <w:szCs w:val="28"/>
        </w:rPr>
        <w:t>Оценка эффективности антимонопольного комплаенса от 20 до 26 баллов указывает на высокий уровень  эффективности антимонопольного комплаенса, одн</w:t>
      </w:r>
      <w:r w:rsidR="0001799D" w:rsidRPr="00A90963">
        <w:rPr>
          <w:rFonts w:ascii="Times New Roman" w:hAnsi="Times New Roman" w:cs="Times New Roman"/>
          <w:sz w:val="28"/>
          <w:szCs w:val="28"/>
        </w:rPr>
        <w:t>ак</w:t>
      </w:r>
      <w:r w:rsidR="00987871" w:rsidRPr="00A90963">
        <w:rPr>
          <w:rFonts w:ascii="Times New Roman" w:hAnsi="Times New Roman" w:cs="Times New Roman"/>
          <w:sz w:val="28"/>
          <w:szCs w:val="28"/>
        </w:rPr>
        <w:t>о имеется ряд моментов, на которые следует обратить внимание. Не достижение максимального балла, в части, объясняется</w:t>
      </w:r>
      <w:r w:rsidR="003A2C5C" w:rsidRPr="00A90963">
        <w:rPr>
          <w:rFonts w:ascii="Times New Roman" w:hAnsi="Times New Roman" w:cs="Times New Roman"/>
          <w:sz w:val="28"/>
          <w:szCs w:val="28"/>
        </w:rPr>
        <w:t>:</w:t>
      </w:r>
    </w:p>
    <w:p w:rsidR="003A2C5C" w:rsidRPr="00A90963" w:rsidRDefault="003A2C5C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BE7AD4" w:rsidRPr="00A90963">
        <w:rPr>
          <w:rFonts w:ascii="Times New Roman" w:hAnsi="Times New Roman" w:cs="Times New Roman"/>
          <w:sz w:val="28"/>
          <w:szCs w:val="28"/>
        </w:rPr>
        <w:t>не профильным функционалом предмета антимонопольного комплаенса деятельности Комитета</w:t>
      </w:r>
      <w:r w:rsidRPr="00A90963">
        <w:rPr>
          <w:rFonts w:ascii="Times New Roman" w:hAnsi="Times New Roman" w:cs="Times New Roman"/>
          <w:sz w:val="28"/>
          <w:szCs w:val="28"/>
        </w:rPr>
        <w:t>;</w:t>
      </w:r>
    </w:p>
    <w:p w:rsidR="003A2C5C" w:rsidRPr="00A90963" w:rsidRDefault="003A2C5C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BE7AD4" w:rsidRPr="00A90963">
        <w:rPr>
          <w:rFonts w:ascii="Times New Roman" w:hAnsi="Times New Roman" w:cs="Times New Roman"/>
          <w:sz w:val="28"/>
          <w:szCs w:val="28"/>
        </w:rPr>
        <w:t xml:space="preserve">введением системы </w:t>
      </w:r>
      <w:r w:rsidRPr="00A90963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</w:t>
      </w:r>
      <w:r w:rsidR="00BE7AD4" w:rsidRPr="00A90963">
        <w:rPr>
          <w:rFonts w:ascii="Times New Roman" w:hAnsi="Times New Roman" w:cs="Times New Roman"/>
          <w:sz w:val="28"/>
          <w:szCs w:val="28"/>
        </w:rPr>
        <w:t>только во втором полугодии</w:t>
      </w:r>
      <w:r w:rsidRPr="00A90963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445C1E" w:rsidRPr="00A90963" w:rsidRDefault="003A2C5C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ab/>
      </w:r>
      <w:r w:rsidR="00BE7AD4" w:rsidRPr="00A90963">
        <w:rPr>
          <w:rFonts w:ascii="Times New Roman" w:hAnsi="Times New Roman" w:cs="Times New Roman"/>
          <w:sz w:val="28"/>
          <w:szCs w:val="28"/>
        </w:rPr>
        <w:t xml:space="preserve">недостаточностью опыта и навыков </w:t>
      </w:r>
      <w:r w:rsidR="008C5B4C" w:rsidRPr="00A90963">
        <w:rPr>
          <w:rFonts w:ascii="Times New Roman" w:hAnsi="Times New Roman" w:cs="Times New Roman"/>
          <w:sz w:val="28"/>
          <w:szCs w:val="28"/>
        </w:rPr>
        <w:t>у уполномоченного должностного лица, руководителей структурных подразделений по осуществлению антимонопольного комплаенса.</w:t>
      </w:r>
    </w:p>
    <w:p w:rsidR="007F0E29" w:rsidRPr="00A90963" w:rsidRDefault="007F0E29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29" w:rsidRPr="00A90963" w:rsidRDefault="007F0E29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29" w:rsidRPr="00A90963" w:rsidRDefault="007F0E29" w:rsidP="007F0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63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Л.А. Попова</w:t>
      </w:r>
    </w:p>
    <w:p w:rsidR="007F0E29" w:rsidRPr="00A90963" w:rsidRDefault="007F0E29" w:rsidP="00D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0E29" w:rsidRPr="00A90963" w:rsidSect="00030E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B6" w:rsidRDefault="00D449B6" w:rsidP="00030E97">
      <w:pPr>
        <w:spacing w:after="0" w:line="240" w:lineRule="auto"/>
      </w:pPr>
      <w:r>
        <w:separator/>
      </w:r>
    </w:p>
  </w:endnote>
  <w:endnote w:type="continuationSeparator" w:id="1">
    <w:p w:rsidR="00D449B6" w:rsidRDefault="00D449B6" w:rsidP="000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B6" w:rsidRDefault="00D449B6" w:rsidP="00030E97">
      <w:pPr>
        <w:spacing w:after="0" w:line="240" w:lineRule="auto"/>
      </w:pPr>
      <w:r>
        <w:separator/>
      </w:r>
    </w:p>
  </w:footnote>
  <w:footnote w:type="continuationSeparator" w:id="1">
    <w:p w:rsidR="00D449B6" w:rsidRDefault="00D449B6" w:rsidP="0003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868"/>
      <w:docPartObj>
        <w:docPartGallery w:val="Page Numbers (Top of Page)"/>
        <w:docPartUnique/>
      </w:docPartObj>
    </w:sdtPr>
    <w:sdtContent>
      <w:p w:rsidR="00BE7AD4" w:rsidRDefault="002E50DB">
        <w:pPr>
          <w:pStyle w:val="a4"/>
          <w:jc w:val="center"/>
        </w:pPr>
        <w:fldSimple w:instr=" PAGE   \* MERGEFORMAT ">
          <w:r w:rsidR="0039455D">
            <w:rPr>
              <w:noProof/>
            </w:rPr>
            <w:t>8</w:t>
          </w:r>
        </w:fldSimple>
      </w:p>
    </w:sdtContent>
  </w:sdt>
  <w:p w:rsidR="00BE7AD4" w:rsidRDefault="00BE7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D9A"/>
    <w:rsid w:val="00013677"/>
    <w:rsid w:val="0001799D"/>
    <w:rsid w:val="00030E97"/>
    <w:rsid w:val="0008400A"/>
    <w:rsid w:val="000A0C08"/>
    <w:rsid w:val="000F74D8"/>
    <w:rsid w:val="00186A59"/>
    <w:rsid w:val="001D18D4"/>
    <w:rsid w:val="001D7876"/>
    <w:rsid w:val="001F64D9"/>
    <w:rsid w:val="0020229F"/>
    <w:rsid w:val="0021569D"/>
    <w:rsid w:val="002A3949"/>
    <w:rsid w:val="002E50DB"/>
    <w:rsid w:val="00356CF6"/>
    <w:rsid w:val="00375A18"/>
    <w:rsid w:val="0039455D"/>
    <w:rsid w:val="003A2C5C"/>
    <w:rsid w:val="004119F1"/>
    <w:rsid w:val="00445C1E"/>
    <w:rsid w:val="004B4069"/>
    <w:rsid w:val="005E5D9A"/>
    <w:rsid w:val="00636EA3"/>
    <w:rsid w:val="006B7630"/>
    <w:rsid w:val="006D7FB0"/>
    <w:rsid w:val="00722594"/>
    <w:rsid w:val="00740FA1"/>
    <w:rsid w:val="00765956"/>
    <w:rsid w:val="007B3DEE"/>
    <w:rsid w:val="007C5D8B"/>
    <w:rsid w:val="007F0E29"/>
    <w:rsid w:val="00835765"/>
    <w:rsid w:val="00836A15"/>
    <w:rsid w:val="008C5B4C"/>
    <w:rsid w:val="00901D16"/>
    <w:rsid w:val="00987871"/>
    <w:rsid w:val="009D7AB7"/>
    <w:rsid w:val="00A26E7C"/>
    <w:rsid w:val="00A742F9"/>
    <w:rsid w:val="00A90963"/>
    <w:rsid w:val="00AE01E1"/>
    <w:rsid w:val="00B73785"/>
    <w:rsid w:val="00BE7AD4"/>
    <w:rsid w:val="00BF3CC9"/>
    <w:rsid w:val="00C300B1"/>
    <w:rsid w:val="00D449B6"/>
    <w:rsid w:val="00D854C2"/>
    <w:rsid w:val="00D87156"/>
    <w:rsid w:val="00D9735D"/>
    <w:rsid w:val="00DD7B7F"/>
    <w:rsid w:val="00E33093"/>
    <w:rsid w:val="00EC2838"/>
    <w:rsid w:val="00F924A6"/>
    <w:rsid w:val="00F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D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E97"/>
  </w:style>
  <w:style w:type="paragraph" w:styleId="a6">
    <w:name w:val="footer"/>
    <w:basedOn w:val="a"/>
    <w:link w:val="a7"/>
    <w:uiPriority w:val="99"/>
    <w:semiHidden/>
    <w:unhideWhenUsed/>
    <w:rsid w:val="0003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0E97"/>
  </w:style>
  <w:style w:type="character" w:customStyle="1" w:styleId="left">
    <w:name w:val="left"/>
    <w:basedOn w:val="a0"/>
    <w:rsid w:val="00901D16"/>
  </w:style>
  <w:style w:type="table" w:styleId="a8">
    <w:name w:val="Table Grid"/>
    <w:basedOn w:val="a1"/>
    <w:uiPriority w:val="59"/>
    <w:rsid w:val="00445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A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4028F5A59A265E807C7C139E88D0A334B8D8DAE1383CC33B8ABEE5361A770BBEBC5589367013E9DF260A280C142AC1B7193D8A7220BEDPCJ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7A3FBBEBE78072D3FACB5D7ED6D3C9C53F1528F06D01177142009A6680C8D7232EDE3030F0EF72314A1EDD8407E0F113200E7BC8CC8A62pFt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A3FBBEBE78072D3FACB5D7ED6D3C9C53F1528F06D01177142009A6680C8D7232EDE3030F0EF72314A1EDD8407E0F113200E7BC8CC8A62pFt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Столбова</dc:creator>
  <cp:keywords/>
  <dc:description/>
  <cp:lastModifiedBy>Столбова</cp:lastModifiedBy>
  <cp:revision>9</cp:revision>
  <dcterms:created xsi:type="dcterms:W3CDTF">2020-01-22T10:27:00Z</dcterms:created>
  <dcterms:modified xsi:type="dcterms:W3CDTF">2020-02-07T11:09:00Z</dcterms:modified>
</cp:coreProperties>
</file>